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44658466" w:rsidR="00A72D41" w:rsidRPr="00A72D41" w:rsidRDefault="00AA637C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D5E6D">
        <w:rPr>
          <w:rFonts w:ascii="Times New Roman" w:hAnsi="Times New Roman" w:cs="Times New Roman"/>
          <w:b/>
          <w:sz w:val="24"/>
          <w:szCs w:val="24"/>
        </w:rPr>
        <w:t>таршей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 w:rsidR="007A57E9">
        <w:rPr>
          <w:rFonts w:ascii="Times New Roman" w:hAnsi="Times New Roman" w:cs="Times New Roman"/>
          <w:b/>
          <w:sz w:val="24"/>
          <w:szCs w:val="24"/>
        </w:rPr>
        <w:t>5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57E9">
        <w:rPr>
          <w:rFonts w:ascii="Times New Roman" w:hAnsi="Times New Roman" w:cs="Times New Roman"/>
          <w:b/>
          <w:sz w:val="24"/>
          <w:szCs w:val="24"/>
        </w:rPr>
        <w:t>Лисята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6D0C6D75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AA637C">
        <w:rPr>
          <w:sz w:val="24"/>
          <w:szCs w:val="24"/>
        </w:rPr>
        <w:t>с</w:t>
      </w:r>
      <w:r w:rsidR="00FB2969">
        <w:rPr>
          <w:sz w:val="24"/>
          <w:szCs w:val="24"/>
        </w:rPr>
        <w:t>таршего</w:t>
      </w:r>
      <w:r w:rsidRPr="00A72D41">
        <w:rPr>
          <w:sz w:val="24"/>
          <w:szCs w:val="24"/>
        </w:rPr>
        <w:t xml:space="preserve"> возраста № </w:t>
      </w:r>
      <w:r w:rsidR="007A57E9">
        <w:rPr>
          <w:sz w:val="24"/>
          <w:szCs w:val="24"/>
        </w:rPr>
        <w:t>5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группа «</w:t>
      </w:r>
      <w:r w:rsidR="007A57E9">
        <w:rPr>
          <w:sz w:val="24"/>
          <w:szCs w:val="24"/>
        </w:rPr>
        <w:t>Лисята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«Петербурговедение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4B499C"/>
    <w:rsid w:val="007A57E9"/>
    <w:rsid w:val="00807E03"/>
    <w:rsid w:val="00975F9C"/>
    <w:rsid w:val="00A72D41"/>
    <w:rsid w:val="00AA637C"/>
    <w:rsid w:val="00AE3493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2023-10-03T13:20:00Z</dcterms:created>
  <dcterms:modified xsi:type="dcterms:W3CDTF">2023-10-03T13:20:00Z</dcterms:modified>
</cp:coreProperties>
</file>